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3A" w:rsidRPr="00EC3A58" w:rsidRDefault="00EC3A58">
      <w:pPr>
        <w:rPr>
          <w:sz w:val="28"/>
        </w:rPr>
      </w:pPr>
      <w:r w:rsidRPr="00EC3A58">
        <w:rPr>
          <w:sz w:val="28"/>
        </w:rPr>
        <w:t>Chapter references for first exam:</w:t>
      </w:r>
    </w:p>
    <w:p w:rsidR="00EC3A58" w:rsidRDefault="00EC3A58"/>
    <w:p w:rsidR="008847A9" w:rsidRDefault="00EC3A58" w:rsidP="00EC3A58">
      <w:pPr>
        <w:pStyle w:val="NormalWeb"/>
        <w:spacing w:before="0" w:beforeAutospacing="0" w:after="240" w:afterAutospacing="0"/>
        <w:rPr>
          <w:color w:val="000000"/>
          <w:sz w:val="28"/>
        </w:rPr>
      </w:pPr>
      <w:r w:rsidRPr="00EC3A58">
        <w:rPr>
          <w:color w:val="000000"/>
          <w:sz w:val="28"/>
        </w:rPr>
        <w:t>Class,</w:t>
      </w:r>
    </w:p>
    <w:p w:rsidR="00EC3A58" w:rsidRDefault="00EC3A58" w:rsidP="00EC3A58">
      <w:pPr>
        <w:pStyle w:val="NormalWeb"/>
        <w:spacing w:before="0" w:beforeAutospacing="0" w:after="240" w:afterAutospacing="0"/>
        <w:rPr>
          <w:color w:val="000000"/>
          <w:sz w:val="28"/>
        </w:rPr>
      </w:pPr>
      <w:r w:rsidRPr="00EC3A58">
        <w:rPr>
          <w:color w:val="000000"/>
          <w:sz w:val="28"/>
        </w:rPr>
        <w:t xml:space="preserve">The first test will take questions from the following chapters and sections. This is a LOT of material.  However, it is the topical coverage for the CPA AUD section that many of you will be taking </w:t>
      </w:r>
      <w:r w:rsidR="008847A9">
        <w:rPr>
          <w:color w:val="000000"/>
          <w:sz w:val="28"/>
        </w:rPr>
        <w:t>soon</w:t>
      </w:r>
      <w:r w:rsidRPr="00EC3A58">
        <w:rPr>
          <w:color w:val="000000"/>
          <w:sz w:val="28"/>
        </w:rPr>
        <w:t xml:space="preserve">.  Use this as an opportunity to start your serious studying for the CPA exam, as well as the exam for 603.  At this point I'm looking at </w:t>
      </w:r>
      <w:r w:rsidR="008847A9">
        <w:rPr>
          <w:color w:val="000000"/>
          <w:sz w:val="28"/>
        </w:rPr>
        <w:t>4</w:t>
      </w:r>
      <w:r w:rsidRPr="00EC3A58">
        <w:rPr>
          <w:color w:val="000000"/>
          <w:sz w:val="28"/>
        </w:rPr>
        <w:t>0 MC questions.  That will allow for a 5</w:t>
      </w:r>
      <w:r w:rsidR="008847A9">
        <w:rPr>
          <w:color w:val="000000"/>
          <w:sz w:val="28"/>
        </w:rPr>
        <w:t>0</w:t>
      </w:r>
      <w:r w:rsidRPr="00EC3A58">
        <w:rPr>
          <w:color w:val="000000"/>
          <w:sz w:val="28"/>
        </w:rPr>
        <w:t xml:space="preserve"> minute exam, 25 minutes for your team portion, and 2</w:t>
      </w:r>
      <w:r w:rsidR="008847A9">
        <w:rPr>
          <w:color w:val="000000"/>
          <w:sz w:val="28"/>
        </w:rPr>
        <w:t>5</w:t>
      </w:r>
      <w:r w:rsidRPr="00EC3A58">
        <w:rPr>
          <w:color w:val="000000"/>
          <w:sz w:val="28"/>
        </w:rPr>
        <w:t xml:space="preserve"> minutes for class discussion.</w:t>
      </w:r>
    </w:p>
    <w:p w:rsidR="00D62727" w:rsidRPr="00EC3A58" w:rsidRDefault="00D62727" w:rsidP="00EC3A58">
      <w:pPr>
        <w:pStyle w:val="NormalWeb"/>
        <w:spacing w:before="0" w:beforeAutospacing="0" w:after="240" w:afterAutospacing="0"/>
        <w:rPr>
          <w:color w:val="000000"/>
          <w:sz w:val="28"/>
        </w:rPr>
      </w:pPr>
      <w:r>
        <w:rPr>
          <w:color w:val="000000"/>
          <w:sz w:val="28"/>
        </w:rPr>
        <w:t>Class PPTs on Canvas</w:t>
      </w:r>
    </w:p>
    <w:p w:rsidR="008847A9" w:rsidRDefault="00EC3A58" w:rsidP="002428C3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EC3A58">
        <w:rPr>
          <w:color w:val="000000"/>
          <w:sz w:val="28"/>
        </w:rPr>
        <w:t>Louwers, et al. text.</w:t>
      </w:r>
      <w:r w:rsidR="002428C3">
        <w:rPr>
          <w:color w:val="000000"/>
          <w:sz w:val="28"/>
        </w:rPr>
        <w:br/>
        <w:t xml:space="preserve">          </w:t>
      </w:r>
      <w:r w:rsidRPr="00EC3A58">
        <w:rPr>
          <w:color w:val="000000"/>
          <w:sz w:val="28"/>
        </w:rPr>
        <w:t>Chapter</w:t>
      </w:r>
      <w:r w:rsidR="008847A9">
        <w:rPr>
          <w:color w:val="000000"/>
          <w:sz w:val="28"/>
        </w:rPr>
        <w:t>s</w:t>
      </w:r>
      <w:r w:rsidRPr="00EC3A58">
        <w:rPr>
          <w:color w:val="000000"/>
          <w:sz w:val="28"/>
        </w:rPr>
        <w:t xml:space="preserve"> 1</w:t>
      </w:r>
      <w:r w:rsidR="008847A9">
        <w:rPr>
          <w:color w:val="000000"/>
          <w:sz w:val="28"/>
        </w:rPr>
        <w:t>, 3, 5, 7, 8, 9</w:t>
      </w:r>
      <w:r w:rsidR="00EC2CB2">
        <w:rPr>
          <w:color w:val="000000"/>
          <w:sz w:val="28"/>
        </w:rPr>
        <w:t>, Module C</w:t>
      </w:r>
      <w:r w:rsidR="00970A5B">
        <w:rPr>
          <w:color w:val="000000"/>
          <w:sz w:val="28"/>
        </w:rPr>
        <w:br/>
      </w:r>
      <w:r w:rsidRPr="00EC3A58">
        <w:rPr>
          <w:color w:val="000000"/>
          <w:sz w:val="28"/>
        </w:rPr>
        <w:br/>
        <w:t>Gleim</w:t>
      </w:r>
      <w:r w:rsidR="00970A5B">
        <w:rPr>
          <w:color w:val="000000"/>
          <w:sz w:val="28"/>
        </w:rPr>
        <w:br/>
      </w:r>
      <w:r w:rsidRPr="00EC3A58">
        <w:rPr>
          <w:color w:val="000000"/>
          <w:sz w:val="28"/>
        </w:rPr>
        <w:t xml:space="preserve"> </w:t>
      </w:r>
      <w:r w:rsidR="00970A5B">
        <w:rPr>
          <w:color w:val="000000"/>
          <w:sz w:val="28"/>
        </w:rPr>
        <w:br/>
      </w:r>
      <w:r w:rsidRPr="00EC3A58">
        <w:rPr>
          <w:color w:val="000000"/>
          <w:sz w:val="28"/>
        </w:rPr>
        <w:t>3.1</w:t>
      </w:r>
      <w:r w:rsidR="00970A5B">
        <w:rPr>
          <w:color w:val="000000"/>
          <w:sz w:val="28"/>
        </w:rPr>
        <w:t>-</w:t>
      </w:r>
      <w:r w:rsidR="008847A9">
        <w:rPr>
          <w:color w:val="000000"/>
          <w:sz w:val="28"/>
        </w:rPr>
        <w:t>7</w:t>
      </w:r>
      <w:r w:rsidR="0039298E">
        <w:rPr>
          <w:color w:val="000000"/>
          <w:sz w:val="28"/>
        </w:rPr>
        <w:t xml:space="preserve"> </w:t>
      </w:r>
      <w:r w:rsidR="0039298E">
        <w:rPr>
          <w:color w:val="000000"/>
          <w:sz w:val="28"/>
        </w:rPr>
        <w:tab/>
        <w:t>Planning and risk assessment</w:t>
      </w:r>
      <w:r w:rsidR="00970A5B">
        <w:rPr>
          <w:color w:val="000000"/>
          <w:sz w:val="28"/>
        </w:rPr>
        <w:br/>
      </w:r>
      <w:r w:rsidR="008847A9">
        <w:rPr>
          <w:color w:val="000000"/>
          <w:sz w:val="28"/>
        </w:rPr>
        <w:t>4.3</w:t>
      </w:r>
      <w:r w:rsidR="0039298E">
        <w:rPr>
          <w:color w:val="000000"/>
          <w:sz w:val="28"/>
        </w:rPr>
        <w:tab/>
        <w:t>Related parties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6.1</w:t>
      </w:r>
      <w:r w:rsidR="0039298E">
        <w:rPr>
          <w:color w:val="000000"/>
          <w:sz w:val="28"/>
        </w:rPr>
        <w:tab/>
        <w:t>Responsibilities/ Organizational Structure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6.3</w:t>
      </w:r>
      <w:r w:rsidR="0039298E">
        <w:rPr>
          <w:color w:val="000000"/>
          <w:sz w:val="28"/>
        </w:rPr>
        <w:tab/>
        <w:t>Other sales-receivables related transactions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7.1</w:t>
      </w:r>
      <w:r w:rsidR="00357A3B">
        <w:rPr>
          <w:color w:val="000000"/>
          <w:sz w:val="28"/>
        </w:rPr>
        <w:tab/>
        <w:t>Purchases responsibilities / Organizational Structure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8.1</w:t>
      </w:r>
      <w:r w:rsidR="00357A3B">
        <w:rPr>
          <w:color w:val="000000"/>
          <w:sz w:val="28"/>
        </w:rPr>
        <w:tab/>
        <w:t>Assessing risk of material misstatement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8.2</w:t>
      </w:r>
      <w:r w:rsidR="00357A3B">
        <w:rPr>
          <w:color w:val="000000"/>
          <w:sz w:val="28"/>
        </w:rPr>
        <w:tab/>
        <w:t>Auditors response to risk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9.1</w:t>
      </w:r>
      <w:r w:rsidR="00357A3B">
        <w:rPr>
          <w:color w:val="000000"/>
          <w:sz w:val="28"/>
        </w:rPr>
        <w:tab/>
        <w:t>Communicating IC matters identifies in an audit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9.2</w:t>
      </w:r>
      <w:r w:rsidR="00357A3B">
        <w:rPr>
          <w:color w:val="000000"/>
          <w:sz w:val="28"/>
        </w:rPr>
        <w:tab/>
        <w:t>The Auditor’s communications with those charged with governance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9.3</w:t>
      </w:r>
      <w:r w:rsidR="00357A3B">
        <w:rPr>
          <w:color w:val="000000"/>
          <w:sz w:val="28"/>
        </w:rPr>
        <w:tab/>
        <w:t>Reporting on an entity’s IC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11.1</w:t>
      </w:r>
      <w:r w:rsidR="00357A3B">
        <w:rPr>
          <w:color w:val="000000"/>
          <w:sz w:val="28"/>
        </w:rPr>
        <w:tab/>
        <w:t>Substantive testing of sales and receivables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12.1</w:t>
      </w:r>
      <w:r w:rsidR="00357A3B">
        <w:rPr>
          <w:color w:val="000000"/>
          <w:sz w:val="28"/>
        </w:rPr>
        <w:tab/>
        <w:t>Substantive testing of AP and purchases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12.2</w:t>
      </w:r>
      <w:r w:rsidR="00357A3B">
        <w:rPr>
          <w:color w:val="000000"/>
          <w:sz w:val="28"/>
        </w:rPr>
        <w:tab/>
        <w:t>Substantive test of inventory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14.1</w:t>
      </w:r>
      <w:r w:rsidR="00357A3B">
        <w:rPr>
          <w:color w:val="000000"/>
          <w:sz w:val="28"/>
        </w:rPr>
        <w:tab/>
        <w:t>Consideration of litigation, claims, and assessments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14.3</w:t>
      </w:r>
      <w:r w:rsidR="00357A3B">
        <w:rPr>
          <w:color w:val="000000"/>
          <w:sz w:val="28"/>
        </w:rPr>
        <w:tab/>
        <w:t>Written representations</w:t>
      </w:r>
    </w:p>
    <w:p w:rsidR="008847A9" w:rsidRDefault="008847A9" w:rsidP="008847A9">
      <w:pPr>
        <w:pStyle w:val="NormalWeb"/>
        <w:spacing w:before="0" w:beforeAutospacing="0" w:after="0" w:afterAutospacing="0"/>
        <w:rPr>
          <w:color w:val="000000"/>
          <w:sz w:val="28"/>
        </w:rPr>
      </w:pPr>
    </w:p>
    <w:p w:rsidR="000C4A88" w:rsidRDefault="000C4A88">
      <w:pPr>
        <w:rPr>
          <w:color w:val="000000"/>
          <w:sz w:val="28"/>
        </w:rPr>
      </w:pPr>
      <w:bookmarkStart w:id="0" w:name="_GoBack"/>
      <w:bookmarkEnd w:id="0"/>
    </w:p>
    <w:p w:rsidR="00635FAF" w:rsidRDefault="00970A5B">
      <w:pPr>
        <w:rPr>
          <w:color w:val="000000"/>
          <w:sz w:val="28"/>
        </w:rPr>
      </w:pPr>
      <w:r w:rsidRPr="00EC3A58">
        <w:rPr>
          <w:color w:val="000000"/>
          <w:sz w:val="28"/>
        </w:rPr>
        <w:t xml:space="preserve">Becker </w:t>
      </w:r>
    </w:p>
    <w:p w:rsidR="000C4A88" w:rsidRDefault="000C4A88">
      <w:pPr>
        <w:rPr>
          <w:color w:val="000000"/>
          <w:sz w:val="28"/>
        </w:rPr>
      </w:pPr>
      <w:r>
        <w:rPr>
          <w:color w:val="000000"/>
          <w:sz w:val="28"/>
        </w:rPr>
        <w:t>Auditing 2.1-2.4, 2.6-2.8</w:t>
      </w:r>
    </w:p>
    <w:p w:rsidR="000C4A88" w:rsidRDefault="00635FAF">
      <w:pPr>
        <w:rPr>
          <w:color w:val="000000"/>
          <w:sz w:val="28"/>
        </w:rPr>
      </w:pPr>
      <w:r>
        <w:rPr>
          <w:color w:val="000000"/>
          <w:sz w:val="28"/>
        </w:rPr>
        <w:t>Auditing 3</w:t>
      </w:r>
      <w:r w:rsidR="000C4A88">
        <w:rPr>
          <w:color w:val="000000"/>
          <w:sz w:val="28"/>
        </w:rPr>
        <w:t>.2-3.7</w:t>
      </w:r>
    </w:p>
    <w:p w:rsidR="000C4A88" w:rsidRDefault="000C4A88">
      <w:pPr>
        <w:rPr>
          <w:color w:val="000000"/>
          <w:sz w:val="28"/>
        </w:rPr>
      </w:pPr>
      <w:r>
        <w:rPr>
          <w:color w:val="000000"/>
          <w:sz w:val="28"/>
        </w:rPr>
        <w:t>Auditing 4.1-4.2, 4.12</w:t>
      </w:r>
    </w:p>
    <w:sectPr w:rsidR="000C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428"/>
    <w:multiLevelType w:val="hybridMultilevel"/>
    <w:tmpl w:val="1A4E60C0"/>
    <w:lvl w:ilvl="0" w:tplc="0332D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8"/>
    <w:rsid w:val="000C4A88"/>
    <w:rsid w:val="002428C3"/>
    <w:rsid w:val="0026381F"/>
    <w:rsid w:val="002E73CF"/>
    <w:rsid w:val="00357A3B"/>
    <w:rsid w:val="0039298E"/>
    <w:rsid w:val="00560F8C"/>
    <w:rsid w:val="00610192"/>
    <w:rsid w:val="00635FAF"/>
    <w:rsid w:val="008847A9"/>
    <w:rsid w:val="00970A5B"/>
    <w:rsid w:val="00D5293A"/>
    <w:rsid w:val="00D62727"/>
    <w:rsid w:val="00EC2CB2"/>
    <w:rsid w:val="00E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0983"/>
  <w15:chartTrackingRefBased/>
  <w15:docId w15:val="{7743E209-0F4C-4342-8FDF-164EA5C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C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3CF"/>
    <w:pPr>
      <w:ind w:left="720"/>
      <w:contextualSpacing/>
    </w:pPr>
    <w:rPr>
      <w:rFonts w:eastAsiaTheme="minorEastAsia" w:cstheme="minorBidi"/>
      <w:szCs w:val="22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EC3A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</dc:creator>
  <cp:keywords/>
  <dc:description/>
  <cp:lastModifiedBy>Payne, Jeffery</cp:lastModifiedBy>
  <cp:revision>3</cp:revision>
  <dcterms:created xsi:type="dcterms:W3CDTF">2018-01-27T15:08:00Z</dcterms:created>
  <dcterms:modified xsi:type="dcterms:W3CDTF">2018-01-27T15:08:00Z</dcterms:modified>
</cp:coreProperties>
</file>